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49</w:t>
      </w:r>
    </w:p>
    <w:p>
      <w:r>
        <w:t>Bundesgericht (BGE), 2011-01-01, DE</w:t>
      </w:r>
    </w:p>
    <w:p>
      <w:r>
        <w:rPr>
          <w:b/>
        </w:rPr>
        <w:t xml:space="preserve">Quelle: </w:t>
      </w:r>
      <w:r>
        <w:t>https://mcp.opencaselaw.ch/entscheid/bge_137 III 49</w:t>
      </w:r>
    </w:p>
    <w:p>
      <w:r>
        <w:t>FR: ATF 137 III 49</w:t>
      </w:r>
    </w:p>
    <w:p>
      <w:r>
        <w:t>IT: DTF 137 III 49</w:t>
      </w:r>
    </w:p>
    <w:p>
      <w:pPr>
        <w:pStyle w:val="Heading2"/>
      </w:pPr>
      <w:r>
        <w:t>Regeste</w:t>
      </w:r>
    </w:p>
    <w:p>
      <w:r>
        <w:t>Regeste Art. 122 ff. ZGB; Verpfändung von Mitteln der beruflichen Vorsorge für Wohneigentum zum eigenen Bedarf. Grundsätze und Möglichkeiten des Ausgleichs der Ansprüche aus der beruflichen Vorsorge, wenn der ausgleichspflichtige Ehegatte seinen Anspruch auf Vorsorgeleistungen oder einen Betrag bis zur Höhe seiner Freizügigkeitsleistung für Wohneigentum zum eigenen Bedarf verpfändet hat. Anwendungsfall, in dem eine angemessene Entschädigung gemäss Art. 124 ZGB in Raten geschuldet ist (E. 2-4).</w:t>
      </w:r>
    </w:p>
    <w:p>
      <w:pPr>
        <w:pStyle w:val="Heading2"/>
      </w:pPr>
      <w:r>
        <w:t>Erwägungen</w:t>
      </w:r>
    </w:p>
    <w:p>
      <w:r>
        <w:rPr>
          <w:b/>
        </w:rPr>
        <w:t>E. 2</w:t>
      </w:r>
    </w:p>
    <w:p>
      <w:r>
        <w:t>In tatsächlicher Hinsicht steht fest, dass die Beschwerdeführerin gegen den Beschwerdegegner eine Forderung aus beruflicher Vorsorge von Fr. 72'755.60 hat und dass das Vorsorgeguthaben des Beschwerdegegners für das von den Parteien während der Ehe selbst genutzte Wohnhaus verpfändet ist. Das Kreisgericht hat die BGE 137 III 49 S. 51 Teilvereinbarung der Parteien genehmigt, wonach die während der Ehe erworbenen BVG-Guthaben nach Gesetz aufzuteilen sind. Es ist davon ausgegangen, ohne die Zustimmung der Pfandgläubigerin, die verweigert werde, könne das Vorsorgeguthaben des Beschwerdegegners nicht geteilt und der Betrag von Fr. 72'755.60 nicht auf das Vorsorgekonto der Beschwerdeführerin übertragen werden. Der Beschwerdegegner schulde der Beschwerdeführerin deshalb eine angemessene Entschädigung, die auf Fr. 72'755.60 festzusetzen und in Raten abzuzahlen sei. Im kantonalen Berufungsverfahren haben die Parteien beantragt, auf die Abgeltung der Ansprüche aus beruflicher Vorsorge zu verzichten (Beschwerdegegner) bzw. die Ratenzahlungen abweichend festzusetzen (Beschwerdeführerin). Das Kantonsgericht ist davon ausgegangen, die Teilung des verpfändeten Vorsorgeguthabens sei möglich, doch könne wegen der Verpfändung und der fehlenden Zustimmung der Pfandgläubigerin der Vorsorgeausgleich nicht geregelt werden. Die Parteien müssten deshalb das Scheidungsurteil ergänzen lassen, sobald die Liegenschaft verkauft werde, die Verpfändung der Vorsorgeguthaben dahinfalle oder die Pfandgläubigerin einer Übertragung der Vorsorgeguthaben an die Beschwerdeführerin zustimme. In diesem Sinn hat das Kantonsgericht den Beschwerdegegner verpflichtet, sich um die Zustimmung der Pfandgläubigerin zu bemühen und die Beschwerdeführerin zu informieren. Der Entscheid über das Prinzip der Teilung und über den Anspruch auf angemessene Entschädigung fällt in die sachliche Zuständigkeit des Scheidungsgerichts und nicht des Berufsvorsorgegerichts (vgl. BGE 136 V 225 E. 5.3 und E. 5.4 S. 227 ff.).</w:t>
      </w:r>
    </w:p>
    <w:p>
      <w:r>
        <w:rPr>
          <w:b/>
        </w:rPr>
        <w:t>E. 3</w:t>
      </w:r>
    </w:p>
    <w:p>
      <w:r>
        <w:t>Fallbezogen zeigt sich die rechtliche Ausgangslage wie folgt:</w:t>
      </w:r>
    </w:p>
    <w:p>
      <w:r>
        <w:rPr>
          <w:b/>
        </w:rPr>
        <w:t>E. 3.1</w:t>
      </w:r>
    </w:p>
    <w:p>
      <w:r>
        <w:t>Die Art. 122 ff. ZGB regeln die Scheidungsfolgen betreffend "Berufliche Vorsorge" (Marginalie). Gehört ein Ehegatte oder gehören beide Ehegatten einer Einrichtung der beruflichen Vorsorge an und ist bei keinem Ehegatten ein Vorsorgefall eingetreten, so hat jeder Ehegatte Anspruch auf die Hälfte der nach dem Freizügigkeitsgesetz vom 17. Dezember 1993 (FZG; SR 831.42) für die Ehedauer zu ermittelnden Austrittsleistung des anderen Ehegatten ( Art. 122 Abs. 1 ZGB ). Stehen den Ehegatten gegenseitig Ansprüche zu, so ist nur der Differenzbetrag zu teilen ( Art. 122 Abs. 2 ZGB ). Ist bei einem oder bei beiden Ehegatten ein Vorsorgefall bereits eingetreten oder können aus andern Gründen Ansprüche aus der beruflichen Vorsorge, die während der Dauer der Ehe erworben worden sind, nicht geteilt werden, so ist eine angemessene Entschädigung BGE 137 III 49 S. 52 geschuldet ( Art. 124 Abs. 1 ZGB ). Bei beiden Anspruchsgrundlagen ist Art. 123 ZGB über "Verzicht und Ausschluss" (Marginalie) zu beachten (vgl. zum System des Vorsorgeausgleichs zuletzt: Urteil 5A_648/2009 vom 8. Februar 2010 E. 4.1, in: FamPra.ch 2010 S. 441 f.).</w:t>
      </w:r>
    </w:p>
    <w:p>
      <w:r>
        <w:rPr>
          <w:b/>
        </w:rPr>
        <w:t>E. 3.2</w:t>
      </w:r>
    </w:p>
    <w:p>
      <w:r>
        <w:t>Mittel der beruflichen Vorsorge können für selbst genutztes Wohneigentum eingesetzt werden. Die Möglichkeit geht auf das Bundesgesetz vom 17. Dezember 1993 über die Wohneigentumsförderung mit Mitteln der beruflichen Vorsorge zurück, in Kraft getreten am 1. Januar 1995 (AS 1994 2372, 2378). Die einschlägigen Bestimmungen finden sich in Art. 331d und Art. 331e OR sowie in Art. 30a-g des Bundesgesetzes vom 25. Juni 1982 über die berufliche Alters-, Hinterlassenen- und Invalidenvorsorge (BVG; SR 831.40). Sie unterscheiden zwischen der Verpfändung und dem Vorbezug.</w:t>
      </w:r>
    </w:p>
    <w:p>
      <w:r>
        <w:rPr>
          <w:b/>
        </w:rPr>
        <w:t>E. 3.2.1</w:t>
      </w:r>
    </w:p>
    <w:p>
      <w:r>
        <w:t>Für den Vorbezug sehen Art. 331e OR und Art. 30c BVG insbesondere vor, dass der Arbeitnehmer bzw. Versicherte von seiner Vorsorgeeinrichtung einen Betrag für Wohneigentum zum eigenen Bedarf geltend machen kann (Abs. 1), dass beim verheirateten Arbeitnehmer bzw. Versicherten der Bezug nur mit schriftlicher Zustimmung des Ehegatten zulässig ist (Abs. 5) und dass der Vorbezug als Freizügigkeitsleistung gilt und nach den Art. 122, 123 und 141 ZGB sowie Art. 22 FZG geteilt wird, wenn vor Eintritt eines Vorsorgefalls die Ehe geschieden wird (Abs. 6). Für die vorbezogenen Mittel besteht namentlich im Falle einer Veräusserung des Wohneigentums eine Rückzahlungsverpflichtung gegenüber der Vorsorgeeinrichtung ( Art. 30d Abs. 1 BVG ; Art. 331e Abs. 8 OR ). Die Rückzahlungsverpflichtung wird grundbuchlich sichergestellt ( Art. 30e BVG ; Art. 331e Abs. 8 OR ).</w:t>
      </w:r>
    </w:p>
    <w:p>
      <w:r>
        <w:rPr>
          <w:b/>
        </w:rPr>
        <w:t>E. 3.2.2</w:t>
      </w:r>
    </w:p>
    <w:p>
      <w:r>
        <w:t>Die im Wesentlichen gleiche Regelung gilt für die Verpfändung von Mitteln der beruflichen Vorsorge. Gemäss Art. 30b BVG kann der Versicherte den Anspruch auf Vorsorgeleistungen oder einen Betrag bis zur Höhe seiner Freizügigkeitsleistung nach Art. 331d OR verpfänden. Der verwiesene Art. 331d OR sieht insbesondere vor, dass der Arbeitnehmer den Anspruch auf Vorsorgeleistungen oder einen Betrag bis zur Höhe seiner Freizügigkeitsleistung für Wohneigentum zum eigenen Bedarf verpfänden kann (Abs. 1), dass beim verheirateten Arbeitnehmer die Verpfändung nur mit schriftlicher Zustimmung des Ehegatten zulässig ist (Abs. 5) und dass BGE 137 III 49 S. 53 Art. 30d-f BVG Anwendung finden, wenn das Pfand vor dem Vorsorgefall verwertet wird (Abs. 6).</w:t>
      </w:r>
    </w:p>
    <w:p>
      <w:r>
        <w:rPr>
          <w:b/>
        </w:rPr>
        <w:t>E. 3.2.3</w:t>
      </w:r>
    </w:p>
    <w:p>
      <w:r>
        <w:t>Eine unterschiedliche Behandlung erfahren Vorbezug und Verpfändung von Mitteln der beruflichen Vorsorge auch im Scheidungsfall nicht. Der Vorbezug gilt als Freizügigkeitsleistung und wird nach Art. 122 ZGB geteilt ( Art. 30c Abs. 6 BVG ; Art. 331e Abs. 6 OR ). Das bedeutet, dass der Vorbezug zur Austrittsleistung im Zeitpunkt der Scheidung hinzuzurechnen ist (vgl. BGE 132 V 332 E. 3 S. 333). Eine entsprechende Regelung fehlt für die Verpfändung von Mitteln der beruflichen Vorsorge und ist auch nicht erforderlich. Denn die blosse Verpfändung verändert im Gegensatz zum Vorbezug die Höhe des Vorsorgeguthabens nicht. Die zwar verpfändete, aber im Vermögen der Vorsorgeeinrichtung unverändert vorhandene Austrittsleistung kann nach Art. 122 ZGB ermittelt werden, ohne dass es der Hinzurechnungen oder Sondervorschriften bedürfte.</w:t>
      </w:r>
    </w:p>
    <w:p>
      <w:r>
        <w:rPr>
          <w:b/>
        </w:rPr>
        <w:t>E. 3.3</w:t>
      </w:r>
    </w:p>
    <w:p>
      <w:r>
        <w:t>Trotz der gesetzlichen Rückzahlungsverpflichtung und deren Sicherstellung kann nicht ausgeschlossen werden, dass das Wohneigentum, in das vorbezogene oder verpfändete Mittel der beruflichen Vorsorge investiert wurden, an Wert verliert und dass das Pfand für Wohneigentum, das aus Mitteln der beruflichen Vorsorge gestellt wurde, zu Gunsten der Gläubiger verwertet wird.</w:t>
      </w:r>
    </w:p>
    <w:p>
      <w:r>
        <w:rPr>
          <w:b/>
        </w:rPr>
        <w:t>E. 3.3.1</w:t>
      </w:r>
    </w:p>
    <w:p>
      <w:r>
        <w:t>Im Umfang des eingetretenen Verlustes fallen die vorbezogenen oder verpfändeten Beträge aus dem System der beruflichen Vorsorge heraus. Sie sind für die Vorsorge verloren und bei der Ermittlung der zu teilenden Austrittsleistung gemäss Art. 122 ZGB nicht mehr zu berücksichtigen. Der Verlust ist von beiden Ehegatten gemeinsam (im Normalfall je hälftig) zu tragen, namentlich weil das während der Ehe mit Hilfe des Vorbezugs oder der Verpfändung erworbene Wohneigentum in der Regel als gemeinsame Wohnung der Ehegatten dient und diese Finanzierung des einen Ehegatten nur mit Zustimmung des anderen Ehegatten möglich ist (vgl. BGE 132 V 332 E. 4.2-4.4 S. 333 ff.; BGE 135 V 436 E. 3.3 S. 440 mit Hinweisen).</w:t>
      </w:r>
    </w:p>
    <w:p>
      <w:r>
        <w:rPr>
          <w:b/>
        </w:rPr>
        <w:t>E. 3.3.2</w:t>
      </w:r>
    </w:p>
    <w:p>
      <w:r>
        <w:t>Nach der Lehre gelten die Grundsätze nicht nur für den Fall des im Zeitpunkt der Scheidung tatsächlich eingetretenen Wertverlustes, sondern auch für den im Zeitpunkt der Scheidung absehbaren Wertverlust. Bei einem absehbaren Wertverlust des Wohneigentums ist nur derjenige Teil des Vorbezugs zur teilbaren Austrittsleistung hinzuzurechnen, der im Falle einer Veräusserung an die Vorsorgeeinrichtung zurückbezahlt werden müsste. Die Bestimmung dieses hypothetischen Erlöses, d.h. des Wertes des Wohneigentums BGE 137 III 49 S. 54 abzüglich der hypothekarisch gesicherten Schulden (vgl. Art. 30d Abs. 5 BVG ), bzw. des Wertverlustes wird regelmässig eine Schätzung des Wohneigentums im Rahmen der Scheidung erforderlich machen (vgl.ANDREA BÄDER FEDERSPIEL, Wohneigentumsförderung und Scheidung, 2008, N. 614 S. 299 f. mit Hinweisen).</w:t>
      </w:r>
    </w:p>
    <w:p>
      <w:r>
        <w:rPr>
          <w:b/>
        </w:rPr>
        <w:t>E. 3.3.3</w:t>
      </w:r>
    </w:p>
    <w:p>
      <w:r>
        <w:t>Die Frage des absehbaren Wertverlustes stellt sich in gleicher Weise bei der Verpfändung von Mitteln der beruflichen Vorsorge. Die Bewertung des Wohneigentums zeigt, ob und in welchem Umfang das Pfand beansprucht werden dürfte. Der Betrag, der nach der absehbaren Pfandverwertung und der Verteilung des Erlöses übrig bleibt, gehört zum Vorsorgeguthaben.</w:t>
      </w:r>
    </w:p>
    <w:p>
      <w:r>
        <w:rPr>
          <w:b/>
        </w:rPr>
        <w:t>E. 3.4</w:t>
      </w:r>
    </w:p>
    <w:p>
      <w:r>
        <w:t>Ist ein vollständiger Wertverlust weder tatsächlich eingetreten noch absehbar, kann die Berechnung gemäss Art. 122 ZGB ergeben, dass der Ehegatte, der Mittel der beruflichen Vorsorge für Wohneigentum zum eigenen Bedarf vorbezogen oder verpfändet hat, gegenüber dem anderen Ehegatten ausgleichspflichtig ist. Es stellt sich die Frage nach der Durchführung der Teilung.</w:t>
      </w:r>
    </w:p>
    <w:p>
      <w:r>
        <w:rPr>
          <w:b/>
        </w:rPr>
        <w:t>E. 3.4.1</w:t>
      </w:r>
    </w:p>
    <w:p>
      <w:r>
        <w:t>Das vorbezogene Kapital gilt im Falle einer Scheidung vor Eintritt des Vorsorgefalls zwar kraft Gesetzes als Freizügigkeitsleistung, ist aber in Wirklichkeit im Wohneigentum investiert und steht deshalb nicht in Form eines Vorsorgeguthabens bzw. einer Austrittsleistung zur Verfügung ( BGE 136 V 57 E. 3.2 S. 59 f.). Die Durchführung der Teilung kann deshalb Schwierigkeiten bereiten.</w:t>
      </w:r>
    </w:p>
    <w:p>
      <w:r>
        <w:rPr>
          <w:b/>
        </w:rPr>
        <w:t>E. 3.4.2</w:t>
      </w:r>
    </w:p>
    <w:p>
      <w:r>
        <w:t>Die Lage zeigt sich nicht wesentlich anders bei der Verpfändung von Mitteln der beruflichen Vorsorge. Das verpfändete Kapital befindet sich zwar bei der Vorsorgeeinrichtung. Für die Barauszahlung der Freizügigkeitsleistung, für die Auszahlung der Vorsorgeleistung und auch für die Übertragung eines Teils der Freizügigkeitsleistung infolge Scheidung auf eine Vorsorgeeinrichtung des anderen Ehegatten ist jedoch die schriftliche Zustimmung des Pfandgläubigers erforderlich, soweit die Pfandsumme betroffen ist. Dieses Zustimmungserfordernis ist in Art. 9 Abs. 1 der Verordnung vom 3. Oktober 1994 über die Wohneigentumsförderung mit Mitteln der beruflichen Vorsorge (WEFV; SR 831.411) ausdrücklich vorgesehen. Verweigert der Pfandgläubiger die Zustimmung, kann die Erfüllung des Anspruchs, der dem anderen Ehegatten gemäss Art. 122 ZGB zusteht, unter Umständen Schwierigkeiten bereiten.</w:t>
      </w:r>
    </w:p>
    <w:p>
      <w:r>
        <w:rPr>
          <w:b/>
        </w:rPr>
        <w:t>E. 3.4.3</w:t>
      </w:r>
    </w:p>
    <w:p>
      <w:r>
        <w:t>In BGE 135 V 324 hat das Bundesgericht anhand der Lehre verschiedene Möglichkeiten aufgezeigt, wie die Forderung des BGE 137 III 49 S. 55 ausgleichsberechtigten Ehegatten durch den Ehegatten, der seine Mittel der beruflichen Vorsorge für Wohneigentum zum eigenen Bedarf vorbezogen hat, getilgt werden kann. Ausgangspunkt bildet dabei die Annahme, dass der ausgleichspflichtige Ehegatte Eigentümer der Liegenschaft bleibt, für die der Vorbezug verwendet wurde. Es bestehen unter anderem folgende Möglichkeiten: (1.) Wurden nicht sämtliche Mittel der beruflichen Vorsorge vorbezogen, ist die Ausgleichsforderung des anderen Ehegatten durch die noch vorhandene Freizügigkeitsleistung zu tilgen. (2.) Verfügt der ausgleichspflichtige Ehegatte über genügend Vermögen, kann er den geschuldeten Betrag an seine Vorsorgeeinrichtung zurückbezahlen, die den Anspruch des anderen Ehegatten durch Übertragung einer Freizügigkeitsleistung erfüllt. (3.) Erwähnt wird die Möglichkeit, durch Gestaltungsurteil dem ausgleichsberechtigten Ehegatten die bedingte Forderung auf vorzeitige Rückzahlung des Vorbezugs ganz oder teilweise zu übertragen. (4.) Ist zwischen den Ehegatten eine vertragliche Einigung erzielbar, kann die Fälligkeit der Forderung, die dem ausgleichsberechtigten Ehegatten zusteht, für eine bestimmte Zeitspanne aufgeschoben werden, wobei die Forderung durch ein Grundpfand auf dem Wohneigentum zu sichern ist und die Vorsorgeeinrichtungen beider Ehegatten in die Vereinbarung einbezogen werden müssen. (5.) Ist eine vertragliche Einigung ausgeschlossen und verfügt der ausgleichspflichtige Ehegatte über keine finanziellen Mittel, um den Anspruch des anderen Ehegatten aus beruflicher Vorsorge unverzüglich zu erfüllen, verbleibt nur mehr als Lösung, dass das Gericht die Teilung des Vorbezugs verweigert ( Art. 123 Abs. 2 ZGB ) und dem ausgleichsberechtigten Ehegatten eine angemessene Entschädigung ( Art. 124 Abs. 1 ZGB ) in der Höhe der geschuldeten Austrittsleistung zuspricht, die der ausgleichspflichtige Ehegatte in Raten abzuzahlen hat (vgl. BGE 135 V 324 E. 5.2.1 S. 329 ff. mit Hinweisen). Die für den Vorbezug aufgezeigten Lösungen können auf die Verpfändung übertragen werden, wobei die besondere Rechtsnatur des Pfandes zu berücksichtigen ist, namentlich das Zustimmungserfordernis des Gläubigers, weil das Pfand das Recht als Ganzes belastet, selbst wenn es betragsmässig begrenzt sein kann.</w:t>
      </w:r>
    </w:p>
    <w:p>
      <w:r>
        <w:rPr>
          <w:b/>
        </w:rPr>
        <w:t>E. 3.5</w:t>
      </w:r>
    </w:p>
    <w:p>
      <w:r>
        <w:t>Es stellt sich abschliessend die Frage, ob der Vorsorgeausgleich in Anbetracht der Schwierigkeiten, die die Durchführung der Teilung bereiten kann, in ein Ergänzungs- oder Nachverfahren verwiesen werden darf. Einer derartigen Verweisung steht der Grundsatz BGE 137 III 49 S. 56 der Einheit des Scheidungsurteils entgegen, wonach das mit der Scheidung befasste Gericht auch für die Regelung aller sich aus der Scheidung ergebenden Nebenfolgen ausschliesslich zuständig ist und hierüber im gleichen Verfahren zu entscheiden hat. Die einzige Ausnahme vom Grundsatz betrifft die güterrechtliche Auseinandersetzung, die in ein separates Verfahren verwiesen werden kann, soweit die Regelung der anderen Scheidungsfolgen nicht von ihrem Ergebnis abhängt ( BGE 134 III 426 E. 1.2 S. 429; vgl. Art. 283 der künftigen Schweizerischen Zivilprozessordnung, AS 2010 1806, SR 272). Im Bereich des Vorsorgeausgleichs besteht zwar eine gesetzliche Durchbrechung des Grundsatzes, wenn sich die Ehegatten über die Teilung der Austrittsleistungen nicht einigen, doch entscheidet das Gericht in diesem Fall wenigstens über das Teilungsverhältnis, bevor es die Sache an das nach dem Freizügigkeitsgesetz zuständige Gericht überweist ( Art. 142 ZGB ; vgl. BGE 135 V 232 E. 2.3 S. 235). Ergänzungs- und Nachverfahren könnten allenfalls in Betracht fallen, wenn der im Scheidungsurteil geregelte Ausgleich der beruflichen Vorsorge sich im Nachhinein als unvollständig erweist (vgl. BGE 129 III 481 E. 3.6.3 S. 492 f.). Eine Verweisung des Vorsorgeausgleichs insgesamt aber erscheint im Grundsatz als unzulässig und hier mit Rücksicht auf die gezeigten Lösungsmöglichkeiten auch nicht als unabdingbar. Eine Ausnahme wäre allenfalls in Betracht zu ziehen, wenn einerseits die erforderlichen Informationen über bestehende Vorsorgeguthaben kaum bzw. gar nicht erhältlich gemacht werden können und andererseits der Vorsorgeausgleich den nachehelichen Unterhalt ( Art. 125 Abs. 2 Ziff. 8 ZGB ) nicht beeinflussen kann und durch weitere Abklärungen die Scheidung verzögert würde (vgl. den kantonalen Entscheid, in: FamPra.ch 2006 S. 426).</w:t>
      </w:r>
    </w:p>
    <w:p>
      <w:r>
        <w:rPr>
          <w:b/>
        </w:rPr>
        <w:t>E. 4</w:t>
      </w:r>
    </w:p>
    <w:p>
      <w:r>
        <w:t>Die Rechtsanwendung ergibt im vorliegenden Fall Folgendes:</w:t>
      </w:r>
    </w:p>
    <w:p>
      <w:r>
        <w:rPr>
          <w:b/>
        </w:rPr>
        <w:t>E. 4.1</w:t>
      </w:r>
    </w:p>
    <w:p>
      <w:r>
        <w:t>In tatsächlicher Hinsicht steht unangefochten fest, dass während der Ehe beide Beschwerdeparteien einer Einrichtung der beruflichen Vorsorge angehört haben und bei keinem Ehegatten ein Vorsorgefall eingetreten ist. Die zu teilenden Austrittsleistungen haben Fr. 3'570.90 für die Beschwerdeführerin und Fr. 149'082.12 für den Beschwerdegegner betragen, insgesamt Fr. 152'653.02. Davon steht den Beschwerdeparteien die Hälfte zu (Fr. 76'326.51). Nach Abzug ihrer Austrittsleistung (Fr. 3'570.90) beläuft sich der Anspruch der Beschwerdeführerin aus beruflicher Vorsorge auf Fr. 72'755.60. Es handelt sich dabei um den Differenzbetrag zwischen den BGE 137 III 49 S. 57 Austrittsleistungen beider Beschwerdeparteien und nicht, wie das Kantonsgericht angenommen hat, um die Hälfte der während der Ehe erworbenen Austrittsleistungen des Ehemannes.</w:t>
      </w:r>
    </w:p>
    <w:p>
      <w:r>
        <w:rPr>
          <w:b/>
        </w:rPr>
        <w:t>E. 4.2</w:t>
      </w:r>
    </w:p>
    <w:p>
      <w:r>
        <w:t>Das Kantonsgericht hat auf die Feststellung des Kreisgerichts verwiesen, wonach der Beschwerdegegner sein gesamtes Vorsorgeguthaben für Wohneigentum zum eigenen Bedarf verpfändet hat. Die Feststellung trifft zu und ist unangefochten. Der Vollständigkeit halber kann ergänzt werden, dass die Beschwerdeführerin die "Verpfändungs-Mitteilung" an die Vorsorgeeinrichtung wie auch den "Rahmenvertrag für Darlehen" mitunterzeichnet hat. Gemäss Rahmenvertrag ist das von der Kantonalbank gewährte Darlehen von Fr. 650'000.- durch zwei Inhaberschuldbriefe über Fr. 220'000.- (1. Rang) und über Fr. 450'000.- (2. Rang), lastend auf der Eigengutsliegenschaft des Beschwerdegegners, sowie durch die Verpfändung aller Ansprüche auf Fr. 100'000.- aus einer gebundenen Vorsorgepolice, auf Fr. 100'000.- aus einer Lebensversicherungspolice und auf das gesamte Pensionskassen-Guthaben des Beschwerdegegners gesichert. In ihrer Durchführbarkeitserklärung vom 23. April 2009 hat die Vorsorgeeinrichtung darauf aufmerksam gemacht, dass der Beschwerdegegner seine Freizügigkeitsleistung und die versicherten Leistungen für Wohneigentum zum eigenen Bedarf verpfändet habe und dass sie sich verpflichtet habe, vor der Auszahlung der verpfändeten Leistungen die Zustimmung des Pfandgläubigers einzuholen.</w:t>
      </w:r>
    </w:p>
    <w:p>
      <w:r>
        <w:rPr>
          <w:b/>
        </w:rPr>
        <w:t>E. 4.3</w:t>
      </w:r>
    </w:p>
    <w:p>
      <w:r>
        <w:t>Die entscheidende Frage, ob ein Wertverlust, d.h. die Verwertung der verpfändeten Vorsorgeguthaben absehbar sei, hat das Kantonsgericht nicht beantwortet und als unklar bezeichnet. Es ist davon ausgegangen, über den Vorsorgeausgleich könne derzeit nicht entschieden werden, weil die Pfandgläubigerin wiederholt die Zustimmung zur Übertragung eines Teils des Vorsorgeguthabens an die Beschwerdeführerin verweigert habe und sich die beteiligte Vorsorgeeinrichtung nicht bereit erklärt habe, eine bedingte Anweisung entgegenzunehmen. Die Ehegatten müssten das Urteil ergänzen lassen, sobald die Liegenschaft verkauft werde, die Verpfändung der Vorsorgeguthaben dahinfalle oder die Pfandgläubigerin einer Übertragung der Vorsorgeguthaben an die Beschwerdeführerin zustimme. Die Beschwerdeführerin erblickt in dieser Verweisung des Vorsorgeausgleichs in ein Nachverfahren zu Recht eine Verletzung von Bundesrecht. Es besteht kein Grund, eine Ausnahme vom Grundsatz der Einheit des Scheidungsurteils zuzulassen. Sämtliche Unterlagen BGE 137 III 49 S. 58 für die Beurteilung des Vorsorgeausgleichs liegen vor (E. 3.5 hiervor).</w:t>
      </w:r>
    </w:p>
    <w:p>
      <w:r>
        <w:rPr>
          <w:b/>
        </w:rPr>
        <w:t>E. 4.4</w:t>
      </w:r>
    </w:p>
    <w:p>
      <w:r>
        <w:t>Entscheidend ist zunächst, ob und in welchem Umfang ein Verlust der verpfändeten Vorsorgeguthaben absehbar ist (E. 3.3 hiervor). Die Beschwerdeführerin bestreitet eine Überschuldung der Liegenschaft des Beschwerdegegners. Es kann ergänzt werden, dass keine der Parteien im kantonalen Berufungsverfahren eine gutachterliche Schätzung des Liegenschaftswertes beantragt hat. Abzustellen ist auf die betreibungsamtliche Schätzung und die bankinterne Schätzung, auf die das Kantonsgericht verwiesen hat. Gemäss der bankinternen Schätzung vom 19. Dezember 2008 beträgt der Verkehrswert des Einfamilienhauses mit Einliegerwohnung und zwei Garagen, Eigentum des Beschwerdegegners, Fr. 700'000.-. Die betreibungsamtliche Schätzung vom 22. September 2008 lautet auf Fr. 617'655.- bei im Lastenverzeichnis verzeichneten grundpfandlich gesicherten Forderungen von Fr. 654'680.-. Auf Grund der beiden Verkehrswertschätzungen kann willkürfrei davon ausgegangen werden, dass das verpfändete Vorsorgeguthaben im Betrag der während der Ehe angesparten Austrittsleistung von rund Fr. 150'000.- im Falle einer Verwertung nicht oder nur bis zur Hälfte in Anspruch genommen werden würde. Unter Willkürgesichtspunkten ist somit ein Verlust des Vorsorgeguthabens, der die vom Beschwerdegegner der Beschwerdeführerin geschuldeten Fr. 72'755.60 nebst Zins erfasste, nicht absehbar. Entgegen der Annahme des Beschwerdegegners kommt es in diesem Zusammenhang auf seine weiteren Schuldverpflichtungen nicht an, ist doch sein Vorsorgeguthaben ausschliesslich für das Wohneigentum verpfändet und haftet für andere Schulden nicht.</w:t>
      </w:r>
    </w:p>
    <w:p>
      <w:r>
        <w:rPr>
          <w:b/>
        </w:rPr>
        <w:t>E. 4.5</w:t>
      </w:r>
    </w:p>
    <w:p>
      <w:r>
        <w:t>Die Möglichkeiten, wie der Beschwerdegegner den Anspruch der Beschwerdeführerin aus beruflicher Vorsorge erfüllen könnte, sind beschränkt, zumal das gesamte Vorsorgeguthaben verpfändet ist, frei verfügbare Mittel nicht vorhanden sind, eine Einigung der Parteien irgendwelcher Art nicht zustande gekommen ist und eine Veränderung im Vorsorgeguthaben mangels Zustimmung der Pfandgläubigerin und der Vorsorgeeinrichtung ausser Betracht fällt. In Frage kommt nur mehr eine angemessene Entschädigung in Raten gemäss Art. 124 Abs. 1 ZGB (E. 3.4.3 hiervor). Die Lösung steht zwar nicht im Vordergrund und geht den anderen Möglichkeiten nach, lässt sich aber auf den Gesetzeswortlaut stützen, wonach eine angemessene Entschädigung nicht nur geschuldet ist, wenn bei BGE 137 III 49 S. 59 einem oder beiden Ehegatten ein Vorsorgefall bereits eingetreten ist, sondern weitergehend im Sinne eines Auffangtatbestandes auch dann, wenn - wie hier - aus andern Gründen Ansprüche aus der beruflichen Vorsorge, die während der Ehe erworben worden sind, nicht geteilt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